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F6" w:rsidRDefault="00F27AF6" w:rsidP="00B069BE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F27AF6" w:rsidRDefault="00F27AF6" w:rsidP="00B069BE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27AF6" w:rsidRDefault="00F27AF6" w:rsidP="00F27AF6">
      <w:pPr>
        <w:pStyle w:val="Nagwek1"/>
        <w:spacing w:line="360" w:lineRule="auto"/>
        <w:ind w:left="0" w:right="265"/>
        <w:jc w:val="both"/>
      </w:pPr>
      <w:r>
        <w:t>Zagadnienia do magisterskiego egzaminu dyplomowego na kierunku Dziennikarstwo i komunikacja społeczna</w:t>
      </w:r>
    </w:p>
    <w:p w:rsidR="00274718" w:rsidRPr="00274718" w:rsidRDefault="00274718" w:rsidP="00B069B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069BE" w:rsidRDefault="00B069BE" w:rsidP="00B069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Gatunki dziennikarskie.  </w:t>
      </w:r>
    </w:p>
    <w:p w:rsidR="00B069BE" w:rsidRPr="00B069BE" w:rsidRDefault="00B069BE" w:rsidP="00B069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69BE">
        <w:rPr>
          <w:rFonts w:asciiTheme="majorBidi" w:hAnsiTheme="majorBidi" w:cstheme="majorBidi"/>
          <w:sz w:val="24"/>
          <w:szCs w:val="24"/>
        </w:rPr>
        <w:t>Nowe formy dziennikarstwa.</w:t>
      </w:r>
    </w:p>
    <w:p w:rsidR="0058404D" w:rsidRDefault="0058404D" w:rsidP="00B069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Reportaż literacki jako pograniczny gatunek wypowiedzi dziennikarskiej.</w:t>
      </w:r>
    </w:p>
    <w:p w:rsidR="00B069BE" w:rsidRPr="00B069BE" w:rsidRDefault="00B069BE" w:rsidP="00B069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69BE">
        <w:rPr>
          <w:rFonts w:asciiTheme="majorBidi" w:hAnsiTheme="majorBidi" w:cstheme="majorBidi"/>
          <w:sz w:val="24"/>
          <w:szCs w:val="24"/>
        </w:rPr>
        <w:t>Wywiad (prasowy, telewizyjny, radiowy, internetowy, literacki, przygotowanie wywiadu, techniki prowadzenia wywiadu).</w:t>
      </w:r>
    </w:p>
    <w:p w:rsidR="00B069BE" w:rsidRPr="00B069BE" w:rsidRDefault="00B069BE" w:rsidP="00B069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Perswazja, manipulacja i propaganda we współczesnej </w:t>
      </w:r>
      <w:r w:rsidRPr="00B069BE">
        <w:rPr>
          <w:rFonts w:asciiTheme="majorBidi" w:hAnsiTheme="majorBidi" w:cstheme="majorBidi"/>
          <w:sz w:val="24"/>
          <w:szCs w:val="24"/>
        </w:rPr>
        <w:t>komunikacji (techniki, środki, metody perswazji i manipulacji w mediach, komunikacja werbalna i niewerbalne a manipulacja w mediach, techniki propagandowe).</w:t>
      </w:r>
    </w:p>
    <w:p w:rsidR="00B069BE" w:rsidRPr="00B069BE" w:rsidRDefault="00B069BE" w:rsidP="00B069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Społeczne i kulturowe oddziaływania mediów </w:t>
      </w:r>
      <w:r w:rsidRPr="00B069BE">
        <w:rPr>
          <w:rFonts w:asciiTheme="majorBidi" w:hAnsiTheme="majorBidi" w:cstheme="majorBidi"/>
          <w:sz w:val="24"/>
          <w:szCs w:val="24"/>
        </w:rPr>
        <w:t>(funkcje opiniotwórcze, edukacyjne, animacyjne, scalające i integrujące mediów, negatywne oddziaływanie mediów)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069BE" w:rsidRDefault="00B069BE" w:rsidP="00B069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Etyczne aspekty działania mediów.</w:t>
      </w:r>
    </w:p>
    <w:p w:rsidR="00B069BE" w:rsidRDefault="00B069BE" w:rsidP="00B069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Marketing i reklama w kontekście pracy dziennikarza.</w:t>
      </w:r>
    </w:p>
    <w:p w:rsidR="0058404D" w:rsidRPr="00B069BE" w:rsidRDefault="0058404D" w:rsidP="00B069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Rola </w:t>
      </w:r>
      <w:r w:rsidRPr="00B069BE">
        <w:rPr>
          <w:rFonts w:asciiTheme="majorBidi" w:hAnsiTheme="majorBidi" w:cstheme="majorBidi"/>
          <w:sz w:val="24"/>
          <w:szCs w:val="24"/>
        </w:rPr>
        <w:t xml:space="preserve">mediów wyznaniowych i religijnych w życiu społecznym. </w:t>
      </w:r>
    </w:p>
    <w:p w:rsidR="0058404D" w:rsidRPr="00B069BE" w:rsidRDefault="0058404D" w:rsidP="00B069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69BE">
        <w:rPr>
          <w:rFonts w:asciiTheme="majorBidi" w:hAnsiTheme="majorBidi" w:cstheme="majorBidi"/>
          <w:sz w:val="24"/>
          <w:szCs w:val="24"/>
        </w:rPr>
        <w:t>Komunikacja społeczna</w:t>
      </w:r>
      <w:r w:rsidR="00294DDA" w:rsidRPr="00B069BE">
        <w:rPr>
          <w:rFonts w:asciiTheme="majorBidi" w:hAnsiTheme="majorBidi" w:cstheme="majorBidi"/>
          <w:sz w:val="24"/>
          <w:szCs w:val="24"/>
        </w:rPr>
        <w:t xml:space="preserve"> – </w:t>
      </w:r>
      <w:r w:rsidRPr="00B069BE">
        <w:rPr>
          <w:rFonts w:asciiTheme="majorBidi" w:hAnsiTheme="majorBidi" w:cstheme="majorBidi"/>
          <w:sz w:val="24"/>
          <w:szCs w:val="24"/>
        </w:rPr>
        <w:t>modele komunikacyjne, środki i formy komunikowania, oddziaływanie środków komunikowania masowego.</w:t>
      </w:r>
    </w:p>
    <w:p w:rsidR="00294DDA" w:rsidRPr="00B069BE" w:rsidRDefault="00294DDA" w:rsidP="00B069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69BE">
        <w:rPr>
          <w:rFonts w:asciiTheme="majorBidi" w:hAnsiTheme="majorBidi" w:cstheme="majorBidi"/>
          <w:sz w:val="24"/>
          <w:szCs w:val="24"/>
        </w:rPr>
        <w:t>Metody badań medioznawczych.</w:t>
      </w:r>
    </w:p>
    <w:p w:rsidR="00B069BE" w:rsidRPr="00B069BE" w:rsidRDefault="00B069BE" w:rsidP="00B069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69BE">
        <w:rPr>
          <w:rFonts w:asciiTheme="majorBidi" w:hAnsiTheme="majorBidi" w:cstheme="majorBidi"/>
          <w:sz w:val="24"/>
          <w:szCs w:val="24"/>
        </w:rPr>
        <w:t>Analiza współczesnego dyskursu medialnego.</w:t>
      </w:r>
    </w:p>
    <w:p w:rsidR="00294DDA" w:rsidRPr="00B069BE" w:rsidRDefault="00294DDA" w:rsidP="00B069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69BE">
        <w:rPr>
          <w:rFonts w:asciiTheme="majorBidi" w:hAnsiTheme="majorBidi" w:cstheme="majorBidi"/>
          <w:sz w:val="24"/>
          <w:szCs w:val="24"/>
        </w:rPr>
        <w:t>Kultura języka w wypowiedzi dziennikarskiej.</w:t>
      </w:r>
    </w:p>
    <w:p w:rsidR="00294DDA" w:rsidRPr="00B069BE" w:rsidRDefault="00294DDA" w:rsidP="00B069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69BE">
        <w:rPr>
          <w:rFonts w:asciiTheme="majorBidi" w:hAnsiTheme="majorBidi" w:cstheme="majorBidi"/>
          <w:sz w:val="24"/>
          <w:szCs w:val="24"/>
        </w:rPr>
        <w:t>Rola mediów w debacie publicznej.</w:t>
      </w:r>
    </w:p>
    <w:p w:rsidR="00B069BE" w:rsidRPr="00B069BE" w:rsidRDefault="00B069BE" w:rsidP="00B069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69BE">
        <w:rPr>
          <w:rFonts w:asciiTheme="majorBidi" w:hAnsiTheme="majorBidi" w:cstheme="majorBidi"/>
          <w:sz w:val="24"/>
          <w:szCs w:val="24"/>
        </w:rPr>
        <w:t>Badania opinii publicznej (cele, proces badawczy, dobór zmiennych, ograniczenia badań jakościowych i ilościowych).</w:t>
      </w:r>
    </w:p>
    <w:p w:rsidR="00294DDA" w:rsidRPr="00B069BE" w:rsidRDefault="00294DDA" w:rsidP="00B069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69BE">
        <w:rPr>
          <w:rFonts w:asciiTheme="majorBidi" w:hAnsiTheme="majorBidi" w:cstheme="majorBidi"/>
          <w:sz w:val="24"/>
          <w:szCs w:val="24"/>
        </w:rPr>
        <w:t xml:space="preserve">Obraz w przekazie medialnym (typy i metody wizualizacji informacji, rola obrazu w mediach, etyka i estetyka obrazu w mediach). </w:t>
      </w:r>
    </w:p>
    <w:p w:rsidR="002A70A7" w:rsidRPr="00B069BE" w:rsidRDefault="002A70A7" w:rsidP="00B069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069BE">
        <w:rPr>
          <w:rFonts w:asciiTheme="majorBidi" w:hAnsiTheme="majorBidi" w:cstheme="majorBidi"/>
          <w:sz w:val="24"/>
          <w:szCs w:val="24"/>
        </w:rPr>
        <w:t>Współczesne stosunki międzynarodowe (uwarunkowania międzynarodowych stosunków politycznych, dyplomacja, spory i konflikty międzynarodowe, organizacje międzynarodowe, globalizacja, islamizm, terroryzm).</w:t>
      </w:r>
    </w:p>
    <w:p w:rsidR="00B069BE" w:rsidRDefault="00B069BE" w:rsidP="00B069BE">
      <w:pPr>
        <w:pStyle w:val="Akapitzlist"/>
        <w:spacing w:after="0" w:line="360" w:lineRule="auto"/>
        <w:rPr>
          <w:rFonts w:asciiTheme="majorBidi" w:hAnsiTheme="majorBidi" w:cstheme="majorBidi"/>
          <w:color w:val="2E74B5" w:themeColor="accent1" w:themeShade="BF"/>
          <w:sz w:val="24"/>
          <w:szCs w:val="24"/>
        </w:rPr>
      </w:pPr>
    </w:p>
    <w:sectPr w:rsidR="00B069BE" w:rsidSect="00B069BE">
      <w:headerReference w:type="default" r:id="rId7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F6" w:rsidRDefault="00F27AF6" w:rsidP="00F27AF6">
      <w:pPr>
        <w:spacing w:after="0" w:line="240" w:lineRule="auto"/>
      </w:pPr>
      <w:r>
        <w:separator/>
      </w:r>
    </w:p>
  </w:endnote>
  <w:endnote w:type="continuationSeparator" w:id="0">
    <w:p w:rsidR="00F27AF6" w:rsidRDefault="00F27AF6" w:rsidP="00F2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F6" w:rsidRDefault="00F27AF6" w:rsidP="00F27AF6">
      <w:pPr>
        <w:spacing w:after="0" w:line="240" w:lineRule="auto"/>
      </w:pPr>
      <w:r>
        <w:separator/>
      </w:r>
    </w:p>
  </w:footnote>
  <w:footnote w:type="continuationSeparator" w:id="0">
    <w:p w:rsidR="00F27AF6" w:rsidRDefault="00F27AF6" w:rsidP="00F2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F6" w:rsidRDefault="00F27AF6" w:rsidP="00F27AF6">
    <w:pPr>
      <w:spacing w:after="0"/>
      <w:ind w:left="1018"/>
      <w:jc w:val="center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>Zagadnienia zatwierdzone na posiedzeniu Rady Instytutu Kulturoznaw</w:t>
    </w:r>
    <w:r w:rsidR="00814C8E">
      <w:rPr>
        <w:rFonts w:ascii="Arial" w:eastAsia="Arial" w:hAnsi="Arial" w:cs="Arial"/>
        <w:sz w:val="16"/>
      </w:rPr>
      <w:t>stwa w dniu 27 października 2023</w:t>
    </w:r>
  </w:p>
  <w:p w:rsidR="00F27AF6" w:rsidRPr="00E550B2" w:rsidRDefault="00F27AF6" w:rsidP="00F27AF6">
    <w:pPr>
      <w:spacing w:after="0"/>
      <w:ind w:left="1018"/>
      <w:jc w:val="center"/>
      <w:rPr>
        <w:i/>
      </w:rPr>
    </w:pPr>
    <w:r>
      <w:rPr>
        <w:rFonts w:ascii="Arial" w:eastAsia="Arial" w:hAnsi="Arial" w:cs="Arial"/>
        <w:i/>
        <w:sz w:val="16"/>
      </w:rPr>
      <w:t xml:space="preserve">Załącznik nr 4 </w:t>
    </w:r>
    <w:r w:rsidRPr="00E550B2">
      <w:rPr>
        <w:rFonts w:ascii="Arial" w:eastAsia="Arial" w:hAnsi="Arial" w:cs="Arial"/>
        <w:i/>
        <w:sz w:val="16"/>
      </w:rPr>
      <w:t xml:space="preserve"> do Uchwały nr </w:t>
    </w:r>
    <w:r w:rsidR="00814C8E">
      <w:rPr>
        <w:rFonts w:ascii="Arial" w:eastAsia="Arial" w:hAnsi="Arial" w:cs="Arial"/>
        <w:i/>
        <w:sz w:val="16"/>
      </w:rPr>
      <w:t>1</w:t>
    </w:r>
    <w:r w:rsidR="00D74686">
      <w:rPr>
        <w:rFonts w:ascii="Arial" w:eastAsia="Arial" w:hAnsi="Arial" w:cs="Arial"/>
        <w:i/>
        <w:sz w:val="16"/>
      </w:rPr>
      <w:t>/2023/2024</w:t>
    </w:r>
  </w:p>
  <w:p w:rsidR="00F27AF6" w:rsidRDefault="00F27A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D336B"/>
    <w:multiLevelType w:val="hybridMultilevel"/>
    <w:tmpl w:val="B8ECEB22"/>
    <w:lvl w:ilvl="0" w:tplc="349C9D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18"/>
    <w:rsid w:val="00033C49"/>
    <w:rsid w:val="000B0599"/>
    <w:rsid w:val="001608E2"/>
    <w:rsid w:val="00274718"/>
    <w:rsid w:val="00294DDA"/>
    <w:rsid w:val="002A70A7"/>
    <w:rsid w:val="002C1ABC"/>
    <w:rsid w:val="00534804"/>
    <w:rsid w:val="0058404D"/>
    <w:rsid w:val="00814C8E"/>
    <w:rsid w:val="00853131"/>
    <w:rsid w:val="00925821"/>
    <w:rsid w:val="00A647B7"/>
    <w:rsid w:val="00B069BE"/>
    <w:rsid w:val="00CE0931"/>
    <w:rsid w:val="00D00939"/>
    <w:rsid w:val="00D74686"/>
    <w:rsid w:val="00F2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69A8E0"/>
  <w15:chartTrackingRefBased/>
  <w15:docId w15:val="{0EC5071F-675A-499D-B41D-624F22F5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F27AF6"/>
    <w:pPr>
      <w:keepNext/>
      <w:keepLines/>
      <w:spacing w:after="0"/>
      <w:ind w:left="8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7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AF6"/>
  </w:style>
  <w:style w:type="paragraph" w:styleId="Stopka">
    <w:name w:val="footer"/>
    <w:basedOn w:val="Normalny"/>
    <w:link w:val="StopkaZnak"/>
    <w:uiPriority w:val="99"/>
    <w:unhideWhenUsed/>
    <w:rsid w:val="00F27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AF6"/>
  </w:style>
  <w:style w:type="character" w:customStyle="1" w:styleId="Nagwek1Znak">
    <w:name w:val="Nagłówek 1 Znak"/>
    <w:basedOn w:val="Domylnaczcionkaakapitu"/>
    <w:link w:val="Nagwek1"/>
    <w:uiPriority w:val="9"/>
    <w:rsid w:val="00F27AF6"/>
    <w:rPr>
      <w:rFonts w:ascii="Arial" w:eastAsia="Arial" w:hAnsi="Arial" w:cs="Arial"/>
      <w:b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Studnicki</dc:creator>
  <cp:keywords/>
  <dc:description/>
  <cp:lastModifiedBy>Joanna Tlałka</cp:lastModifiedBy>
  <cp:revision>6</cp:revision>
  <cp:lastPrinted>2023-06-28T09:25:00Z</cp:lastPrinted>
  <dcterms:created xsi:type="dcterms:W3CDTF">2022-11-24T13:07:00Z</dcterms:created>
  <dcterms:modified xsi:type="dcterms:W3CDTF">2023-10-26T10:37:00Z</dcterms:modified>
</cp:coreProperties>
</file>